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89244" w14:textId="77777777" w:rsidR="008479ED" w:rsidRDefault="008479ED" w:rsidP="00032972">
      <w:pPr>
        <w:spacing w:line="480" w:lineRule="auto"/>
        <w:jc w:val="center"/>
        <w:rPr>
          <w:rFonts w:ascii="Times New Roman" w:hAnsi="Times New Roman" w:cs="Times New Roman"/>
          <w:bCs/>
          <w:sz w:val="24"/>
          <w:szCs w:val="24"/>
          <w:lang w:val="en-US"/>
        </w:rPr>
      </w:pPr>
    </w:p>
    <w:p w14:paraId="140E449D" w14:textId="77777777" w:rsidR="008479ED" w:rsidRDefault="008479ED" w:rsidP="00032972">
      <w:pPr>
        <w:spacing w:line="480" w:lineRule="auto"/>
        <w:jc w:val="center"/>
        <w:rPr>
          <w:rFonts w:ascii="Times New Roman" w:hAnsi="Times New Roman" w:cs="Times New Roman"/>
          <w:bCs/>
          <w:sz w:val="24"/>
          <w:szCs w:val="24"/>
          <w:lang w:val="en-US"/>
        </w:rPr>
      </w:pPr>
    </w:p>
    <w:p w14:paraId="5DE7CB42" w14:textId="26E5CD01" w:rsidR="008479ED" w:rsidRDefault="008479ED" w:rsidP="00032972">
      <w:pPr>
        <w:spacing w:line="480" w:lineRule="auto"/>
        <w:jc w:val="center"/>
        <w:rPr>
          <w:rFonts w:ascii="Times New Roman" w:hAnsi="Times New Roman" w:cs="Times New Roman"/>
          <w:bCs/>
          <w:sz w:val="24"/>
          <w:szCs w:val="24"/>
          <w:lang w:val="en-US"/>
        </w:rPr>
      </w:pPr>
    </w:p>
    <w:p w14:paraId="58F656F5" w14:textId="7D72ECA9" w:rsidR="00032972" w:rsidRDefault="00032972" w:rsidP="00032972">
      <w:pPr>
        <w:spacing w:line="480" w:lineRule="auto"/>
        <w:jc w:val="center"/>
        <w:rPr>
          <w:rFonts w:ascii="Times New Roman" w:hAnsi="Times New Roman" w:cs="Times New Roman"/>
          <w:bCs/>
          <w:sz w:val="24"/>
          <w:szCs w:val="24"/>
          <w:lang w:val="en-US"/>
        </w:rPr>
      </w:pPr>
    </w:p>
    <w:p w14:paraId="3CEE12AB" w14:textId="77777777" w:rsidR="00032972" w:rsidRDefault="00032972" w:rsidP="00032972">
      <w:pPr>
        <w:spacing w:line="480" w:lineRule="auto"/>
        <w:jc w:val="center"/>
        <w:rPr>
          <w:rFonts w:ascii="Times New Roman" w:hAnsi="Times New Roman" w:cs="Times New Roman"/>
          <w:bCs/>
          <w:sz w:val="24"/>
          <w:szCs w:val="24"/>
          <w:lang w:val="en-US"/>
        </w:rPr>
      </w:pPr>
    </w:p>
    <w:p w14:paraId="04081ECC" w14:textId="026AFFE6" w:rsidR="00095AB6" w:rsidRDefault="00095AB6" w:rsidP="00032972">
      <w:pPr>
        <w:spacing w:line="480" w:lineRule="auto"/>
        <w:jc w:val="center"/>
        <w:rPr>
          <w:rFonts w:ascii="Times New Roman" w:hAnsi="Times New Roman" w:cs="Times New Roman"/>
          <w:bCs/>
          <w:sz w:val="24"/>
          <w:szCs w:val="24"/>
          <w:lang w:val="en-US"/>
        </w:rPr>
      </w:pPr>
      <w:r w:rsidRPr="00095AB6">
        <w:rPr>
          <w:rFonts w:ascii="Times New Roman" w:hAnsi="Times New Roman" w:cs="Times New Roman"/>
          <w:bCs/>
          <w:sz w:val="24"/>
          <w:szCs w:val="24"/>
          <w:lang w:val="en-US"/>
        </w:rPr>
        <w:t>Stereotypes in Bicultural Global Terms</w:t>
      </w:r>
    </w:p>
    <w:p w14:paraId="54DCEF6D" w14:textId="4C8EAD28" w:rsidR="009E3F21" w:rsidRDefault="009E3F21" w:rsidP="000329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895C2FB" w14:textId="59A427B3" w:rsidR="009E3F21" w:rsidRDefault="009E3F21" w:rsidP="000329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49378D1" w14:textId="77777777" w:rsidR="00032972" w:rsidRDefault="00032972" w:rsidP="000329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F7FA13B" w14:textId="4E5817BC" w:rsidR="009E3F21" w:rsidRDefault="009E3F21" w:rsidP="00032972">
      <w:pPr>
        <w:spacing w:line="480" w:lineRule="auto"/>
        <w:jc w:val="center"/>
        <w:rPr>
          <w:rFonts w:ascii="Times New Roman" w:hAnsi="Times New Roman" w:cs="Times New Roman"/>
          <w:bCs/>
          <w:sz w:val="24"/>
          <w:szCs w:val="24"/>
          <w:lang w:val="en-US"/>
        </w:rPr>
      </w:pPr>
      <w:r w:rsidRPr="00095AB6">
        <w:rPr>
          <w:rFonts w:ascii="Times New Roman" w:hAnsi="Times New Roman" w:cs="Times New Roman"/>
          <w:bCs/>
          <w:sz w:val="24"/>
          <w:szCs w:val="24"/>
          <w:lang w:val="en-US"/>
        </w:rPr>
        <w:lastRenderedPageBreak/>
        <w:t>Stereotypes in Bicultural Global Terms</w:t>
      </w:r>
    </w:p>
    <w:p w14:paraId="46921FF9" w14:textId="08CC64DD" w:rsidR="00095AB6"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 1. Introduction</w:t>
      </w:r>
    </w:p>
    <w:p w14:paraId="5528DE64" w14:textId="77777777" w:rsidR="00471036" w:rsidRDefault="009E3F21" w:rsidP="00032972">
      <w:pPr>
        <w:spacing w:line="480" w:lineRule="auto"/>
        <w:ind w:firstLine="720"/>
        <w:rPr>
          <w:rFonts w:ascii="Times New Roman" w:hAnsi="Times New Roman" w:cs="Times New Roman"/>
          <w:bCs/>
          <w:sz w:val="24"/>
          <w:szCs w:val="24"/>
          <w:lang w:val="en-US"/>
        </w:rPr>
      </w:pPr>
      <w:r w:rsidRPr="009E3F21">
        <w:rPr>
          <w:rFonts w:ascii="Times New Roman" w:hAnsi="Times New Roman" w:cs="Times New Roman"/>
          <w:bCs/>
          <w:sz w:val="24"/>
          <w:szCs w:val="24"/>
          <w:lang w:val="en-US"/>
        </w:rPr>
        <w:t xml:space="preserve">The article is entitled </w:t>
      </w:r>
      <w:r w:rsidR="00095AB6" w:rsidRPr="00095AB6">
        <w:rPr>
          <w:rFonts w:ascii="Times New Roman" w:hAnsi="Times New Roman" w:cs="Times New Roman"/>
          <w:bCs/>
          <w:sz w:val="24"/>
          <w:szCs w:val="24"/>
          <w:lang w:val="en-US"/>
        </w:rPr>
        <w:t xml:space="preserve">‘Stereotypes in Bicultural Global Teams’ </w:t>
      </w:r>
      <w:r>
        <w:rPr>
          <w:rFonts w:ascii="Times New Roman" w:hAnsi="Times New Roman" w:cs="Times New Roman"/>
          <w:bCs/>
          <w:sz w:val="24"/>
          <w:szCs w:val="24"/>
          <w:lang w:val="en-US"/>
        </w:rPr>
        <w:t>and reports a study</w:t>
      </w:r>
      <w:r w:rsidR="00F648C6">
        <w:rPr>
          <w:rFonts w:ascii="Times New Roman" w:hAnsi="Times New Roman" w:cs="Times New Roman"/>
          <w:bCs/>
          <w:sz w:val="24"/>
          <w:szCs w:val="24"/>
          <w:lang w:val="en-US"/>
        </w:rPr>
        <w:t xml:space="preserve"> that</w:t>
      </w:r>
      <w:r>
        <w:rPr>
          <w:rFonts w:ascii="Times New Roman" w:hAnsi="Times New Roman" w:cs="Times New Roman"/>
          <w:bCs/>
          <w:sz w:val="24"/>
          <w:szCs w:val="24"/>
          <w:lang w:val="en-US"/>
        </w:rPr>
        <w:t xml:space="preserve"> </w:t>
      </w:r>
      <w:r w:rsidR="00095AB6" w:rsidRPr="00095AB6">
        <w:rPr>
          <w:rFonts w:ascii="Times New Roman" w:hAnsi="Times New Roman" w:cs="Times New Roman"/>
          <w:bCs/>
          <w:sz w:val="24"/>
          <w:szCs w:val="24"/>
          <w:lang w:val="en-US"/>
        </w:rPr>
        <w:t xml:space="preserve">was conducted by Nurit Zaidman and Ayala Malach-Pines </w:t>
      </w:r>
      <w:r w:rsidR="00F648C6">
        <w:rPr>
          <w:rFonts w:ascii="Times New Roman" w:hAnsi="Times New Roman" w:cs="Times New Roman"/>
          <w:bCs/>
          <w:sz w:val="24"/>
          <w:szCs w:val="24"/>
          <w:lang w:val="en-US"/>
        </w:rPr>
        <w:t>on</w:t>
      </w:r>
      <w:r w:rsidR="00095AB6" w:rsidRPr="00095AB6">
        <w:rPr>
          <w:rFonts w:ascii="Times New Roman" w:hAnsi="Times New Roman" w:cs="Times New Roman"/>
          <w:bCs/>
          <w:sz w:val="24"/>
          <w:szCs w:val="24"/>
          <w:lang w:val="en-US"/>
        </w:rPr>
        <w:t xml:space="preserve"> the stereotypes among members of a team in the high-tech industry composed of individuals from two different cultures. Their study identified </w:t>
      </w:r>
      <w:r w:rsidR="00F648C6">
        <w:rPr>
          <w:rFonts w:ascii="Times New Roman" w:hAnsi="Times New Roman" w:cs="Times New Roman"/>
          <w:bCs/>
          <w:sz w:val="24"/>
          <w:szCs w:val="24"/>
          <w:lang w:val="en-US"/>
        </w:rPr>
        <w:t>a</w:t>
      </w:r>
      <w:r w:rsidR="00095AB6" w:rsidRPr="00095AB6">
        <w:rPr>
          <w:rFonts w:ascii="Times New Roman" w:hAnsi="Times New Roman" w:cs="Times New Roman"/>
          <w:bCs/>
          <w:sz w:val="24"/>
          <w:szCs w:val="24"/>
          <w:lang w:val="en-US"/>
        </w:rPr>
        <w:t xml:space="preserve"> team consisting of 120 Israelis and 80 Indians working in the high-tech industry as a bicultural and global one, implying that the members portrayed cultural aspects from the Western</w:t>
      </w:r>
      <w:r w:rsidR="00F648C6">
        <w:rPr>
          <w:rFonts w:ascii="Times New Roman" w:hAnsi="Times New Roman" w:cs="Times New Roman"/>
          <w:bCs/>
          <w:sz w:val="24"/>
          <w:szCs w:val="24"/>
          <w:lang w:val="en-US"/>
        </w:rPr>
        <w:t xml:space="preserve"> </w:t>
      </w:r>
      <w:r w:rsidR="00095AB6" w:rsidRPr="00095AB6">
        <w:rPr>
          <w:rFonts w:ascii="Times New Roman" w:hAnsi="Times New Roman" w:cs="Times New Roman"/>
          <w:bCs/>
          <w:sz w:val="24"/>
          <w:szCs w:val="24"/>
          <w:lang w:val="en-US"/>
        </w:rPr>
        <w:t>(Israeli) and Eastern (Indian) cultures, but shared internationally recognized work values in the high-tech industry (Zaidman &amp; Pines, 2014). As such, one of the main themes in this study is culture, both in the high-tech industry and its differences among group members from different geographical locations. The culture, in this case, refers to a set of shared meaning systems; and this study ties this theme to that of stereotypes among the group members, which can develop from cultural and socio-motivational processes as postulated by the authors (Zaidman &amp; Pines, 2014).</w:t>
      </w:r>
    </w:p>
    <w:p w14:paraId="6A27B5CA" w14:textId="77777777" w:rsidR="00471036"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More specifically, the authors propose that the bicultural team individuals have some generalized assumptions regarding the other team members created by cultural differences (stereotypes), which they then use to create value systems to attach value to the other group members (Zaidman &amp; Pines, 2014). Furthermore, the study assumes that these value systems can be modified to become similar among the group members since they all work in the same global culture of the high-tech industry, or they can be retained despite the high-tech industry cultural influences (divergence), and both could simultaneously occur (crossvergence) (Zaidman &amp; Pines, 2014).</w:t>
      </w:r>
    </w:p>
    <w:p w14:paraId="55B70988" w14:textId="77777777" w:rsidR="00471036"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 2</w:t>
      </w:r>
      <w:r w:rsidR="00471036">
        <w:rPr>
          <w:rFonts w:ascii="Times New Roman" w:hAnsi="Times New Roman" w:cs="Times New Roman"/>
          <w:b/>
          <w:sz w:val="24"/>
          <w:szCs w:val="24"/>
          <w:lang w:val="en-US"/>
        </w:rPr>
        <w:t>: W</w:t>
      </w:r>
      <w:r w:rsidRPr="00095AB6">
        <w:rPr>
          <w:rFonts w:ascii="Times New Roman" w:hAnsi="Times New Roman" w:cs="Times New Roman"/>
          <w:b/>
          <w:sz w:val="24"/>
          <w:szCs w:val="24"/>
          <w:lang w:val="en-US"/>
        </w:rPr>
        <w:t>hy the Authors Chose the Culture of the High-Tech Industry</w:t>
      </w:r>
    </w:p>
    <w:p w14:paraId="1942BE6F" w14:textId="670FF380" w:rsidR="00B20416"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lastRenderedPageBreak/>
        <w:t>The high-technology industry is mainly concerned with the use of technology to produce new products that are marketable (Haeussler et al</w:t>
      </w:r>
      <w:r w:rsidR="009E3F21">
        <w:rPr>
          <w:rFonts w:ascii="Times New Roman" w:hAnsi="Times New Roman" w:cs="Times New Roman"/>
          <w:sz w:val="24"/>
          <w:szCs w:val="24"/>
          <w:lang w:val="en-US"/>
        </w:rPr>
        <w:t>.</w:t>
      </w:r>
      <w:r w:rsidRPr="00095AB6">
        <w:rPr>
          <w:rFonts w:ascii="Times New Roman" w:hAnsi="Times New Roman" w:cs="Times New Roman"/>
          <w:sz w:val="24"/>
          <w:szCs w:val="24"/>
          <w:lang w:val="en-US"/>
        </w:rPr>
        <w:t>, 2012). As such, there is a constant need to need to develop and commercialize new products to exploit promising market opportunities, generate needed cash flows, and make a profit (Haeussler et al, 2012). This implies that organizations in the high-tech industry need to have a sufficient stock of resources, skills and capabilities at hand that may take a long time to acquire, but are possessed by other organizations in the industry (Haeussler et al, 2012). These include human resources, intellectual assets, and technological resources among others (Haeussler et al, 2012). Therefore, the constant need to access, acquire, and assemble capabilities forces many organizations to form alliances and collaborations with other organizations across different cultures to acquire the different resources, thus forming multi-cultural teams (Haeussler et al, 2012). These multi-cultural task-oriented teams draw individuals from different national cultures that are often involved in dynamic, project-based arrangements for a certain period of time (Zaidman &amp; Pines, 2014).</w:t>
      </w:r>
    </w:p>
    <w:p w14:paraId="18A472A9" w14:textId="4FF361E1" w:rsidR="00B20416"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 xml:space="preserve">Consequently, the high-tech industry is characterized by a significant </w:t>
      </w:r>
      <w:r w:rsidR="00AA7EB4" w:rsidRPr="00095AB6">
        <w:rPr>
          <w:rFonts w:ascii="Times New Roman" w:hAnsi="Times New Roman" w:cs="Times New Roman"/>
          <w:sz w:val="24"/>
          <w:szCs w:val="24"/>
          <w:lang w:val="en-US"/>
        </w:rPr>
        <w:t>number</w:t>
      </w:r>
      <w:r w:rsidRPr="00095AB6">
        <w:rPr>
          <w:rFonts w:ascii="Times New Roman" w:hAnsi="Times New Roman" w:cs="Times New Roman"/>
          <w:sz w:val="24"/>
          <w:szCs w:val="24"/>
          <w:lang w:val="en-US"/>
        </w:rPr>
        <w:t xml:space="preserve"> of interactions between its global culture and the different national cultures. Since these national cultures influence national stereotypes the high-tech industry culture is suitable for examining how these stereotypes are affected in a complex environment containing multi-cultural teams (Zaidman &amp; Pines, 2014). Consequently, the authors chose the high-tech industry culture since it provides a fertile ground for the investigation of stereotypes (Zaidman &amp; Pines, 2014).</w:t>
      </w:r>
    </w:p>
    <w:p w14:paraId="7C4B3BB8" w14:textId="77777777" w:rsidR="00B20416"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 3</w:t>
      </w:r>
      <w:r w:rsidR="00B20416">
        <w:rPr>
          <w:rFonts w:ascii="Times New Roman" w:hAnsi="Times New Roman" w:cs="Times New Roman"/>
          <w:b/>
          <w:sz w:val="24"/>
          <w:szCs w:val="24"/>
          <w:lang w:val="en-US"/>
        </w:rPr>
        <w:t xml:space="preserve">: </w:t>
      </w:r>
      <w:r w:rsidRPr="00095AB6">
        <w:rPr>
          <w:rFonts w:ascii="Times New Roman" w:hAnsi="Times New Roman" w:cs="Times New Roman"/>
          <w:b/>
          <w:sz w:val="24"/>
          <w:szCs w:val="24"/>
          <w:lang w:val="en-US"/>
        </w:rPr>
        <w:t>How the High-Tech Industry Culture Fits with the Israeli and Indians’ Cultural Characteristics</w:t>
      </w:r>
    </w:p>
    <w:p w14:paraId="5CC7132D" w14:textId="77777777" w:rsidR="00B20416"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lastRenderedPageBreak/>
        <w:t>The high technology industry culture has several aspects. In a different paper by Pines and Zaidman (2014) analyzing the stress and burnout among members of the high-tech industry, it is shown that the industry is characterized by a constantly dynamic, independent, informal, and highly competitive work environment, with a consistent demand for ﬂexibility and excellent multitasking ability. Additionally, the high-tech industry is very stressful particularly due to the unfavorably long work periods, the pressure to perform within a short time-frame, constant demands for creativity and innovation, and ﬁerce competition (Pines &amp; Zaidman, 2014).  Also, Pines &amp; Zaidman (2014) explain that work is signiﬁcantly more central in the lives of employees in the high-tech industry compared to those in traditional industries and that expressive orientation is crucial in the industry, which emphasizes the aspects of interesting and satisfying work, variety, autonomy and the opportunity to learn new information (Pines &amp; Zaidman, 2014).</w:t>
      </w:r>
    </w:p>
    <w:p w14:paraId="067BE38E" w14:textId="77777777" w:rsidR="00B20416"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 xml:space="preserve">Indians and Israelis in the high-tech industry portray various cultural characteristics that relate to the high-tech industrial culture. For instance, Pines &amp; Zaidman (2014) showed that Israelis tended to have more individual motivation, ambition, personal goals, and daring. Furthermore, the Israeli culture exhibits a low power distance and high assertiveness ratings, hence Israeli employees in high-tech organizations have been portrayed as disregarding departmental and hierarchical boundaries, alongside showing high responsibility and improvisation in their work (Pines &amp; Zaidman, 2014). Most of these characteristics are essential in the high-tech industry. However, the Indians in the high-tech industry were more conservative and placed greater value on authority and harmony due to a culture with a high-power distance low assertive-ness, and a tendency to go ‘by the book’ while performing their work (Pines &amp; Zaidman, 2014). Additionally, Israelis in the high-tech industry scored higher than Indians in autonomy, creativity, freedom, and equality, while Indians scored </w:t>
      </w:r>
      <w:r w:rsidRPr="00095AB6">
        <w:rPr>
          <w:rFonts w:ascii="Times New Roman" w:hAnsi="Times New Roman" w:cs="Times New Roman"/>
          <w:sz w:val="24"/>
          <w:szCs w:val="24"/>
          <w:lang w:val="en-US"/>
        </w:rPr>
        <w:lastRenderedPageBreak/>
        <w:t>higher in collectivism (Pines &amp; Zaidman, 2014).  These Indian characteristics negatively interact with the high-tech industry culture, which is highly dynamic.</w:t>
      </w:r>
    </w:p>
    <w:p w14:paraId="5F5A0824" w14:textId="77777777" w:rsidR="0013651E"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 4</w:t>
      </w:r>
      <w:r w:rsidR="00B20416">
        <w:rPr>
          <w:rFonts w:ascii="Times New Roman" w:hAnsi="Times New Roman" w:cs="Times New Roman"/>
          <w:b/>
          <w:sz w:val="24"/>
          <w:szCs w:val="24"/>
          <w:lang w:val="en-US"/>
        </w:rPr>
        <w:t xml:space="preserve">: </w:t>
      </w:r>
      <w:r w:rsidR="0013651E">
        <w:rPr>
          <w:rFonts w:ascii="Times New Roman" w:hAnsi="Times New Roman" w:cs="Times New Roman"/>
          <w:b/>
          <w:sz w:val="24"/>
          <w:szCs w:val="24"/>
          <w:lang w:val="en-US"/>
        </w:rPr>
        <w:t xml:space="preserve">The </w:t>
      </w:r>
      <w:r w:rsidRPr="00095AB6">
        <w:rPr>
          <w:rFonts w:ascii="Times New Roman" w:hAnsi="Times New Roman" w:cs="Times New Roman"/>
          <w:b/>
          <w:sz w:val="24"/>
          <w:szCs w:val="24"/>
          <w:lang w:val="en-US"/>
        </w:rPr>
        <w:t>Hofstede Dimensions</w:t>
      </w:r>
    </w:p>
    <w:p w14:paraId="6849EF41" w14:textId="77777777" w:rsidR="0013651E"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Professor Geert Hofstede's research concerning workplace values in relation to culture provides much-needed insight on organizational culture in different fields. In his research, Hofstede (2011) acknowledges that culture has several dimensions, and creates a model for the classification of culture into six main dimensions which are power distance, uncertainty avoidance, individualism, masculinity, long-term orientation, and indulgence. The Power Distance refers to the extent to which the less powerful members of organizations and institutions accept and expect that power is distributed unequally, thus portraying the understanding of power from the perspective of the less powerful in a particular setting (Hofstede, 2011). Conversely, Uncertainty Avoidance relates to the discomfort in the face of an unpredictable future, with a strong uncertainty avoidance signifying more stress, emotionality, anxiety, and neuroticism due to life's uncertain nature (Hofstede, 2011). Individualism indicates an ability for the individual members of a culture to look after themselves, as compared to collectivism where members of a culture are incorporated into cohesive groups that continuously support them in exchange for loyalty and in-group favoring (Hofstede, 2011).</w:t>
      </w:r>
    </w:p>
    <w:p w14:paraId="6040F3BC" w14:textId="77777777" w:rsidR="0013651E"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The Masculinity dimension acknowledges that men's values across different cultures are associated with assertive dominance and competition, while women's values are tied to modesty and aspects of care (Hofstede, 2011). As such, a masculine culture heavily admires the strong, while a feminine one shows sympathy for the weak. Long-term orientation, on the other hand, is compared to the short-term orientation of a particular culture, concerning the focus of the culture on either the future or the past (Hofstede, 2011). For instance, a short-</w:t>
      </w:r>
      <w:r w:rsidRPr="00095AB6">
        <w:rPr>
          <w:rFonts w:ascii="Times New Roman" w:hAnsi="Times New Roman" w:cs="Times New Roman"/>
          <w:sz w:val="24"/>
          <w:szCs w:val="24"/>
          <w:lang w:val="en-US"/>
        </w:rPr>
        <w:lastRenderedPageBreak/>
        <w:t>term orientation is based on the belief that the most important events in life occurred in the past or take place now, while a long-term orientation is inclined towards believing that important events in life will occur in the future (Hofstede, 2011). Indulgence represents a society that allows relatively free gratification of basic and natural human desires, as compared to restraint which stands for a culture that controls gratification of needs and regulates it through strict social norms (Hofstede, 2011).</w:t>
      </w:r>
    </w:p>
    <w:p w14:paraId="77F49296" w14:textId="77777777" w:rsidR="00877D45"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 5</w:t>
      </w:r>
      <w:r w:rsidR="0013651E">
        <w:rPr>
          <w:rFonts w:ascii="Times New Roman" w:hAnsi="Times New Roman" w:cs="Times New Roman"/>
          <w:b/>
          <w:sz w:val="24"/>
          <w:szCs w:val="24"/>
          <w:lang w:val="en-US"/>
        </w:rPr>
        <w:t xml:space="preserve">: </w:t>
      </w:r>
      <w:r w:rsidRPr="00095AB6">
        <w:rPr>
          <w:rFonts w:ascii="Times New Roman" w:hAnsi="Times New Roman" w:cs="Times New Roman"/>
          <w:b/>
          <w:sz w:val="24"/>
          <w:szCs w:val="24"/>
          <w:lang w:val="en-US"/>
        </w:rPr>
        <w:t xml:space="preserve">How Israel and India </w:t>
      </w:r>
      <w:r w:rsidR="00877D45">
        <w:rPr>
          <w:rFonts w:ascii="Times New Roman" w:hAnsi="Times New Roman" w:cs="Times New Roman"/>
          <w:b/>
          <w:sz w:val="24"/>
          <w:szCs w:val="24"/>
          <w:lang w:val="en-US"/>
        </w:rPr>
        <w:t>C</w:t>
      </w:r>
      <w:r w:rsidRPr="00095AB6">
        <w:rPr>
          <w:rFonts w:ascii="Times New Roman" w:hAnsi="Times New Roman" w:cs="Times New Roman"/>
          <w:b/>
          <w:sz w:val="24"/>
          <w:szCs w:val="24"/>
          <w:lang w:val="en-US"/>
        </w:rPr>
        <w:t xml:space="preserve">ompare using Hofstede’s Indexes </w:t>
      </w:r>
      <w:r w:rsidR="00877D45">
        <w:rPr>
          <w:rFonts w:ascii="Times New Roman" w:hAnsi="Times New Roman" w:cs="Times New Roman"/>
          <w:b/>
          <w:sz w:val="24"/>
          <w:szCs w:val="24"/>
          <w:lang w:val="en-US"/>
        </w:rPr>
        <w:t>in Terms of Difference</w:t>
      </w:r>
    </w:p>
    <w:p w14:paraId="0F4C5F94" w14:textId="77777777" w:rsidR="00945323"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Hofstede’s dimensions can be used to assess cultural differences between India and Israel. Thampi et al</w:t>
      </w:r>
      <w:r w:rsidR="00877D45">
        <w:rPr>
          <w:rFonts w:ascii="Times New Roman" w:hAnsi="Times New Roman" w:cs="Times New Roman"/>
          <w:sz w:val="24"/>
          <w:szCs w:val="24"/>
          <w:lang w:val="en-US"/>
        </w:rPr>
        <w:t>.</w:t>
      </w:r>
      <w:r w:rsidRPr="00095AB6">
        <w:rPr>
          <w:rFonts w:ascii="Times New Roman" w:hAnsi="Times New Roman" w:cs="Times New Roman"/>
          <w:sz w:val="24"/>
          <w:szCs w:val="24"/>
          <w:lang w:val="en-US"/>
        </w:rPr>
        <w:t xml:space="preserve"> (2015) noted that Indians have a high acceptance for power hierarchies in society and organizations, hence a high score on the power distance dimension. Conversely, Israelis portray a high disregard for hierarchical boundaries (Zaidman &amp; Pines, 2014). Additionally, Indians show an almost equal prevalence of individualism and collectivism (Thampi et al, 2015), as opposed to Israelis who have high personal motivation and focus on individual goals, which shows a preference for individualism in their culture (Zaidman &amp; Pines, 2014). Similarly, both masculinity and femininity are present in the Indian culture in almost equal measure (Thampi et al, 2015), but Israelis show more assertiveness which is synonymous with more masculinity (Zaidman &amp; Pines, 2014). However, Indians show more restraint, pessimism and cynicism due to more conservatism than Israelis who show a high tendency to improvise (Zaidman &amp; Pines, 2014).</w:t>
      </w:r>
    </w:p>
    <w:p w14:paraId="784B63CB" w14:textId="3AAFF8B6" w:rsidR="00945323"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Furthermore, the Indian culture is more long-term oriented and pragmatic due to a relatively higher tolerance to other cultures and beliefs (Thampi et al</w:t>
      </w:r>
      <w:r w:rsidR="00945323">
        <w:rPr>
          <w:rFonts w:ascii="Times New Roman" w:hAnsi="Times New Roman" w:cs="Times New Roman"/>
          <w:sz w:val="24"/>
          <w:szCs w:val="24"/>
          <w:lang w:val="en-US"/>
        </w:rPr>
        <w:t>.</w:t>
      </w:r>
      <w:r w:rsidRPr="00095AB6">
        <w:rPr>
          <w:rFonts w:ascii="Times New Roman" w:hAnsi="Times New Roman" w:cs="Times New Roman"/>
          <w:sz w:val="24"/>
          <w:szCs w:val="24"/>
          <w:lang w:val="en-US"/>
        </w:rPr>
        <w:t xml:space="preserve">, 2015) but Israelis are more result-oriented with a higher motivation for success, ambition and personal </w:t>
      </w:r>
      <w:r w:rsidR="00AA7EB4" w:rsidRPr="00095AB6">
        <w:rPr>
          <w:rFonts w:ascii="Times New Roman" w:hAnsi="Times New Roman" w:cs="Times New Roman"/>
          <w:sz w:val="24"/>
          <w:szCs w:val="24"/>
          <w:lang w:val="en-US"/>
        </w:rPr>
        <w:t>goals which</w:t>
      </w:r>
      <w:r w:rsidRPr="00095AB6">
        <w:rPr>
          <w:rFonts w:ascii="Times New Roman" w:hAnsi="Times New Roman" w:cs="Times New Roman"/>
          <w:sz w:val="24"/>
          <w:szCs w:val="24"/>
          <w:lang w:val="en-US"/>
        </w:rPr>
        <w:t xml:space="preserve"> correlates to a short-term orientation (Zaidman &amp; Pines, 2014). Also, Indians show a high </w:t>
      </w:r>
      <w:r w:rsidRPr="00095AB6">
        <w:rPr>
          <w:rFonts w:ascii="Times New Roman" w:hAnsi="Times New Roman" w:cs="Times New Roman"/>
          <w:sz w:val="24"/>
          <w:szCs w:val="24"/>
          <w:lang w:val="en-US"/>
        </w:rPr>
        <w:lastRenderedPageBreak/>
        <w:t>tolerance to uncertainty (Thampi et al, 2015) as compared to Israelis whose directness and task-oriented approach indicate a low tolerance to uncertainty (Zaidman &amp; Pines, 2014). As such, Indians are more likely to bypass rules if the need arises, due to a higher tendency to take risks when faced with uncertainty (Thampi et al, 2015).</w:t>
      </w:r>
    </w:p>
    <w:p w14:paraId="6B46027D" w14:textId="77777777" w:rsidR="008B7576"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 6</w:t>
      </w:r>
      <w:r w:rsidR="00945323">
        <w:rPr>
          <w:rFonts w:ascii="Times New Roman" w:hAnsi="Times New Roman" w:cs="Times New Roman"/>
          <w:b/>
          <w:sz w:val="24"/>
          <w:szCs w:val="24"/>
          <w:lang w:val="en-US"/>
        </w:rPr>
        <w:t>: W</w:t>
      </w:r>
      <w:r w:rsidRPr="00095AB6">
        <w:rPr>
          <w:rFonts w:ascii="Times New Roman" w:hAnsi="Times New Roman" w:cs="Times New Roman"/>
          <w:b/>
          <w:sz w:val="24"/>
          <w:szCs w:val="24"/>
          <w:lang w:val="en-US"/>
        </w:rPr>
        <w:t>hy the </w:t>
      </w:r>
      <w:r w:rsidR="008B7576">
        <w:rPr>
          <w:rFonts w:ascii="Times New Roman" w:hAnsi="Times New Roman" w:cs="Times New Roman"/>
          <w:b/>
          <w:sz w:val="24"/>
          <w:szCs w:val="24"/>
          <w:lang w:val="en-US"/>
        </w:rPr>
        <w:t>D</w:t>
      </w:r>
      <w:r w:rsidRPr="00095AB6">
        <w:rPr>
          <w:rFonts w:ascii="Times New Roman" w:hAnsi="Times New Roman" w:cs="Times New Roman"/>
          <w:b/>
          <w:sz w:val="24"/>
          <w:szCs w:val="24"/>
          <w:lang w:val="en-US"/>
        </w:rPr>
        <w:t xml:space="preserve">irectness and </w:t>
      </w:r>
      <w:r w:rsidR="008B7576">
        <w:rPr>
          <w:rFonts w:ascii="Times New Roman" w:hAnsi="Times New Roman" w:cs="Times New Roman"/>
          <w:b/>
          <w:sz w:val="24"/>
          <w:szCs w:val="24"/>
          <w:lang w:val="en-US"/>
        </w:rPr>
        <w:t>T</w:t>
      </w:r>
      <w:r w:rsidRPr="00095AB6">
        <w:rPr>
          <w:rFonts w:ascii="Times New Roman" w:hAnsi="Times New Roman" w:cs="Times New Roman"/>
          <w:b/>
          <w:sz w:val="24"/>
          <w:szCs w:val="24"/>
          <w:lang w:val="en-US"/>
        </w:rPr>
        <w:t>ask-</w:t>
      </w:r>
      <w:r w:rsidR="008B7576">
        <w:rPr>
          <w:rFonts w:ascii="Times New Roman" w:hAnsi="Times New Roman" w:cs="Times New Roman"/>
          <w:b/>
          <w:sz w:val="24"/>
          <w:szCs w:val="24"/>
          <w:lang w:val="en-US"/>
        </w:rPr>
        <w:t>O</w:t>
      </w:r>
      <w:r w:rsidRPr="00095AB6">
        <w:rPr>
          <w:rFonts w:ascii="Times New Roman" w:hAnsi="Times New Roman" w:cs="Times New Roman"/>
          <w:b/>
          <w:sz w:val="24"/>
          <w:szCs w:val="24"/>
          <w:lang w:val="en-US"/>
        </w:rPr>
        <w:t xml:space="preserve">riented </w:t>
      </w:r>
      <w:r w:rsidR="008B7576">
        <w:rPr>
          <w:rFonts w:ascii="Times New Roman" w:hAnsi="Times New Roman" w:cs="Times New Roman"/>
          <w:b/>
          <w:sz w:val="24"/>
          <w:szCs w:val="24"/>
          <w:lang w:val="en-US"/>
        </w:rPr>
        <w:t>A</w:t>
      </w:r>
      <w:r w:rsidRPr="00095AB6">
        <w:rPr>
          <w:rFonts w:ascii="Times New Roman" w:hAnsi="Times New Roman" w:cs="Times New Roman"/>
          <w:b/>
          <w:sz w:val="24"/>
          <w:szCs w:val="24"/>
          <w:lang w:val="en-US"/>
        </w:rPr>
        <w:t xml:space="preserve">pproach of the Israelis </w:t>
      </w:r>
      <w:r w:rsidR="008B7576">
        <w:rPr>
          <w:rFonts w:ascii="Times New Roman" w:hAnsi="Times New Roman" w:cs="Times New Roman"/>
          <w:b/>
          <w:sz w:val="24"/>
          <w:szCs w:val="24"/>
          <w:lang w:val="en-US"/>
        </w:rPr>
        <w:t>G</w:t>
      </w:r>
      <w:r w:rsidRPr="00095AB6">
        <w:rPr>
          <w:rFonts w:ascii="Times New Roman" w:hAnsi="Times New Roman" w:cs="Times New Roman"/>
          <w:b/>
          <w:sz w:val="24"/>
          <w:szCs w:val="24"/>
          <w:lang w:val="en-US"/>
        </w:rPr>
        <w:t xml:space="preserve">enerated </w:t>
      </w:r>
      <w:r w:rsidR="008B7576">
        <w:rPr>
          <w:rFonts w:ascii="Times New Roman" w:hAnsi="Times New Roman" w:cs="Times New Roman"/>
          <w:b/>
          <w:sz w:val="24"/>
          <w:szCs w:val="24"/>
          <w:lang w:val="en-US"/>
        </w:rPr>
        <w:t>N</w:t>
      </w:r>
      <w:r w:rsidRPr="00095AB6">
        <w:rPr>
          <w:rFonts w:ascii="Times New Roman" w:hAnsi="Times New Roman" w:cs="Times New Roman"/>
          <w:b/>
          <w:sz w:val="24"/>
          <w:szCs w:val="24"/>
          <w:lang w:val="en-US"/>
        </w:rPr>
        <w:t xml:space="preserve">egative </w:t>
      </w:r>
      <w:r w:rsidR="008B7576">
        <w:rPr>
          <w:rFonts w:ascii="Times New Roman" w:hAnsi="Times New Roman" w:cs="Times New Roman"/>
          <w:b/>
          <w:sz w:val="24"/>
          <w:szCs w:val="24"/>
          <w:lang w:val="en-US"/>
        </w:rPr>
        <w:t>F</w:t>
      </w:r>
      <w:r w:rsidRPr="00095AB6">
        <w:rPr>
          <w:rFonts w:ascii="Times New Roman" w:hAnsi="Times New Roman" w:cs="Times New Roman"/>
          <w:b/>
          <w:sz w:val="24"/>
          <w:szCs w:val="24"/>
          <w:lang w:val="en-US"/>
        </w:rPr>
        <w:t xml:space="preserve">eelings </w:t>
      </w:r>
      <w:r w:rsidR="008B7576">
        <w:rPr>
          <w:rFonts w:ascii="Times New Roman" w:hAnsi="Times New Roman" w:cs="Times New Roman"/>
          <w:b/>
          <w:sz w:val="24"/>
          <w:szCs w:val="24"/>
          <w:lang w:val="en-US"/>
        </w:rPr>
        <w:t>A</w:t>
      </w:r>
      <w:r w:rsidRPr="00095AB6">
        <w:rPr>
          <w:rFonts w:ascii="Times New Roman" w:hAnsi="Times New Roman" w:cs="Times New Roman"/>
          <w:b/>
          <w:sz w:val="24"/>
          <w:szCs w:val="24"/>
          <w:lang w:val="en-US"/>
        </w:rPr>
        <w:t xml:space="preserve">mong their Indian </w:t>
      </w:r>
      <w:r w:rsidR="008B7576">
        <w:rPr>
          <w:rFonts w:ascii="Times New Roman" w:hAnsi="Times New Roman" w:cs="Times New Roman"/>
          <w:b/>
          <w:sz w:val="24"/>
          <w:szCs w:val="24"/>
          <w:lang w:val="en-US"/>
        </w:rPr>
        <w:t>P</w:t>
      </w:r>
      <w:r w:rsidRPr="00095AB6">
        <w:rPr>
          <w:rFonts w:ascii="Times New Roman" w:hAnsi="Times New Roman" w:cs="Times New Roman"/>
          <w:b/>
          <w:sz w:val="24"/>
          <w:szCs w:val="24"/>
          <w:lang w:val="en-US"/>
        </w:rPr>
        <w:t>artners</w:t>
      </w:r>
    </w:p>
    <w:p w14:paraId="3A34A07C" w14:textId="77777777" w:rsidR="008B7576"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 xml:space="preserve">In my opinion, the emergence of negative feelings among the Indian group members due to the Israelis’ directness and task-oriented approach was caused by a tendency of the members of one group to attach a lower value to the characteristics of the members of another group, which is consistent with the Social Identity theory (Zaidman &amp; Pines, 2014). According to this theory, individuals classify themselves into one or more in-groups to build part of their identity, and the individual group members are inclined towards evaluating their own group positively (in-group favoritism) mainly to achieve positive group identity and improve social ranking in their groups (Zaidman &amp; Pines, 2014). This is because the other groups are seen as threats to the status of the in-group (Zaidman &amp; Pines, 2014). Conversely, the out-groups are seen as a form of competition to a positive self-identity by the in-group individuals, and the out-groups are therefore treated differently based on whether they support a positive in-group identity (Gazi, 2014). According to Gazi (2014) the need for group identification is brought about by an internal need to reduce self-uncertainty, and individuals are motivated to sustain these group identities even if they are negative because they provide epistemic stability. Gazi (2014) also points out that the in-group takes a self-relevant role to the individual members because comparisons between groups are equated to self-comparisons with other people, hence the comparisons are emotion-laden. The Social Interaction theory therefore provides important information concerning the social identity basis for discrimination, prejudice, and intergroup conflict, by locating these phenomena as </w:t>
      </w:r>
      <w:r w:rsidRPr="00095AB6">
        <w:rPr>
          <w:rFonts w:ascii="Times New Roman" w:hAnsi="Times New Roman" w:cs="Times New Roman"/>
          <w:sz w:val="24"/>
          <w:szCs w:val="24"/>
          <w:lang w:val="en-US"/>
        </w:rPr>
        <w:lastRenderedPageBreak/>
        <w:t>resulting from group-based categorization and self-enhancement intentions (Gazi, 2014). This explains the negative feelings.</w:t>
      </w:r>
    </w:p>
    <w:p w14:paraId="7DECB96B" w14:textId="77777777" w:rsidR="008B7576"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Question7</w:t>
      </w:r>
      <w:r w:rsidR="008B7576">
        <w:rPr>
          <w:rFonts w:ascii="Times New Roman" w:hAnsi="Times New Roman" w:cs="Times New Roman"/>
          <w:b/>
          <w:sz w:val="24"/>
          <w:szCs w:val="24"/>
          <w:lang w:val="en-US"/>
        </w:rPr>
        <w:t xml:space="preserve">: The Notions of </w:t>
      </w:r>
      <w:r w:rsidRPr="00095AB6">
        <w:rPr>
          <w:rFonts w:ascii="Times New Roman" w:hAnsi="Times New Roman" w:cs="Times New Roman"/>
          <w:b/>
          <w:sz w:val="24"/>
          <w:szCs w:val="24"/>
          <w:lang w:val="en-US"/>
        </w:rPr>
        <w:t>Convergence, Crossvergence, and Divergence</w:t>
      </w:r>
    </w:p>
    <w:p w14:paraId="02B8445D" w14:textId="77777777" w:rsidR="008B7576"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The concepts of convergence, divergence, and crossvergence are concerned with how various cultural contexts influence the evaluation of the characteristics of individuals from different or similar cultures (Zaidman &amp; Pines, 2014). Fundamentally, the three concepts attempt to explain how people attach value to different individuals based on their stereotypes about these individuals from a cultural perspective, thus forming value systems. According to the convergence perspective, new value systems can be formed due to cultural and business ideology influences (Zaidman &amp; Pines, 2014).  For instance, technological influences, such as the demand for increasingly innovative tools, can push individuals to develop a value system that is consistent with the technology of their society, regardless of other cultural influences (Zaidman &amp; Pines, 2014). Therefore, interactions between individuals from different cultures can inspire value convergence processes that are likely to be reflected in their stereotypical evaluations of other individuals (Zaidman &amp; Pines, 2014).</w:t>
      </w:r>
    </w:p>
    <w:p w14:paraId="56CB9915" w14:textId="77777777" w:rsidR="007E2B2D"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Conversely, the divergence perspective assumes that cultural influences cause individuals to retain specific value systems regardless of other possible influences, such as a specific business ideology (Zaidman &amp; Pines, 2014). Essentially, national cultures are likely to influence stereotypes of individuals in global teams with team members’ national culture acting as the primary social entity and as a basis for self-evaluation and enhancement (Zaidman &amp; Pines, 2014). However, the crossvergence perspective argues that both divergence and convergence are important and occur simultaneously; hence complete divergence or complete convergence rarely ever happens (Zaidman &amp; Pines, 2014).</w:t>
      </w:r>
    </w:p>
    <w:p w14:paraId="54E165DA" w14:textId="607DD86F" w:rsidR="006E625C"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w:t>
      </w:r>
      <w:r w:rsidR="00D77A01">
        <w:rPr>
          <w:rFonts w:ascii="Times New Roman" w:hAnsi="Times New Roman" w:cs="Times New Roman"/>
          <w:b/>
          <w:sz w:val="24"/>
          <w:szCs w:val="24"/>
          <w:lang w:val="en-US"/>
        </w:rPr>
        <w:t xml:space="preserve"> </w:t>
      </w:r>
      <w:r w:rsidRPr="00095AB6">
        <w:rPr>
          <w:rFonts w:ascii="Times New Roman" w:hAnsi="Times New Roman" w:cs="Times New Roman"/>
          <w:b/>
          <w:sz w:val="24"/>
          <w:szCs w:val="24"/>
          <w:lang w:val="en-US"/>
        </w:rPr>
        <w:t>8</w:t>
      </w:r>
      <w:r w:rsidR="007E2B2D">
        <w:rPr>
          <w:rFonts w:ascii="Times New Roman" w:hAnsi="Times New Roman" w:cs="Times New Roman"/>
          <w:b/>
          <w:sz w:val="24"/>
          <w:szCs w:val="24"/>
          <w:lang w:val="en-US"/>
        </w:rPr>
        <w:t xml:space="preserve">: </w:t>
      </w:r>
      <w:r w:rsidRPr="00095AB6">
        <w:rPr>
          <w:rFonts w:ascii="Times New Roman" w:hAnsi="Times New Roman" w:cs="Times New Roman"/>
          <w:b/>
          <w:sz w:val="24"/>
          <w:szCs w:val="24"/>
          <w:lang w:val="en-US"/>
        </w:rPr>
        <w:t>Tajfel and Turner Theory</w:t>
      </w:r>
    </w:p>
    <w:p w14:paraId="7CF6D778" w14:textId="77777777" w:rsidR="006E625C"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lastRenderedPageBreak/>
        <w:t>Tajfel and Turner developed the Theory of Social Identity in an attempt to explain the conflict between groups as a function of group-based self-definitions (Gazi, 2014). According to the theory, people tend to create part of their self-definition from their social groups, and these identifications are aimed at protecting the individuals' self-identity (Gazi, 2014). Essentially, individuals classify themselves into one or more in-groups to build part of their identity based on membership in these groups and enforcing boundaries with other groups which helps build group distinctiveness (Zaidman &amp; Pines, 2014). Furthermore, the theory assumes that the individual group members are inclined towards evaluating their own group positively (in-group favoritism) mainly to achieve a positive group identity and improve social ranking in their groups (Zaidman &amp; Pines, 2014). This is because the other groups are seen as threats to the status of the in-group (Zaidman &amp; Pines, 2014). Furthermore, the in-group takes a self-relevant role to the individual members because comparisons between groups are equated to self-comparisons with other people, hence the need for positive in-group bias (Gazi, 2014).</w:t>
      </w:r>
    </w:p>
    <w:p w14:paraId="577F04DB" w14:textId="77777777" w:rsidR="006E625C"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Conversely, the out-groups are seen as a form of competition to a positive self-identity by the in-group individuals, and the out-groups are therefore treated differently based on whether they support a positive in-group identity (Gazi, 2014). Therefore, this theory can be used to explain prejudiced perceptions of the differences between groups, since the group identification could lead to out-group degradation if it is seen as a threat to positive self-image (Gazi, 2014).</w:t>
      </w:r>
    </w:p>
    <w:p w14:paraId="0195A43A" w14:textId="77777777" w:rsidR="005625B4"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 xml:space="preserve">Question </w:t>
      </w:r>
      <w:r w:rsidR="006E625C">
        <w:rPr>
          <w:rFonts w:ascii="Times New Roman" w:hAnsi="Times New Roman" w:cs="Times New Roman"/>
          <w:b/>
          <w:sz w:val="24"/>
          <w:szCs w:val="24"/>
          <w:lang w:val="en-US"/>
        </w:rPr>
        <w:t xml:space="preserve">9: </w:t>
      </w:r>
      <w:r w:rsidRPr="00095AB6">
        <w:rPr>
          <w:rFonts w:ascii="Times New Roman" w:hAnsi="Times New Roman" w:cs="Times New Roman"/>
          <w:b/>
          <w:sz w:val="24"/>
          <w:szCs w:val="24"/>
          <w:lang w:val="en-US"/>
        </w:rPr>
        <w:t xml:space="preserve">Why the Pilot Study was </w:t>
      </w:r>
      <w:r w:rsidR="006E625C">
        <w:rPr>
          <w:rFonts w:ascii="Times New Roman" w:hAnsi="Times New Roman" w:cs="Times New Roman"/>
          <w:b/>
          <w:sz w:val="24"/>
          <w:szCs w:val="24"/>
          <w:lang w:val="en-US"/>
        </w:rPr>
        <w:t>C</w:t>
      </w:r>
      <w:r w:rsidRPr="00095AB6">
        <w:rPr>
          <w:rFonts w:ascii="Times New Roman" w:hAnsi="Times New Roman" w:cs="Times New Roman"/>
          <w:b/>
          <w:sz w:val="24"/>
          <w:szCs w:val="24"/>
          <w:lang w:val="en-US"/>
        </w:rPr>
        <w:t>onducted</w:t>
      </w:r>
    </w:p>
    <w:p w14:paraId="7E008109" w14:textId="77777777" w:rsidR="005625B4"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 xml:space="preserve">In their study, Zaidman &amp; Pines (2014) used a pilot study as exploratory initial research to create a satisfactory quantitative tool for use in their research methods. In this case, their quantitative tool was a self-report questionnaire, which was used alongside a </w:t>
      </w:r>
      <w:r w:rsidRPr="00095AB6">
        <w:rPr>
          <w:rFonts w:ascii="Times New Roman" w:hAnsi="Times New Roman" w:cs="Times New Roman"/>
          <w:sz w:val="24"/>
          <w:szCs w:val="24"/>
          <w:lang w:val="en-US"/>
        </w:rPr>
        <w:lastRenderedPageBreak/>
        <w:t>qualitative semi-structured interview as part of a triangulation design to increase the validity of the study (Zaidman &amp; Pines, 2014). In my opinion, this pilot study was needed to create a self-reported questionnaire that would capture the information which the researchers considered relevant. Leon et al (2011) define a pilot study as a preliminary small-scale assessment of the methods and procedures to be used in the main research. Fundamentally, the pilot study examines the feasibility of the research procedures and methods to be eventually used in a larger-scale study (Leon et al, 2011). Thus, the pilot study serves as an earlier-phase developmental function that will enhance the probability of success in the larger subsequent study methods that are anticipated but do not test the feasibility of the study hypothesis (Leon et al, 2011).</w:t>
      </w:r>
    </w:p>
    <w:p w14:paraId="22FB7903" w14:textId="21334115" w:rsidR="005625B4"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 xml:space="preserve">To understand the need for the pilot study, </w:t>
      </w:r>
      <w:r w:rsidR="00AA7EB4">
        <w:rPr>
          <w:rFonts w:ascii="Times New Roman" w:hAnsi="Times New Roman" w:cs="Times New Roman"/>
          <w:sz w:val="24"/>
          <w:szCs w:val="24"/>
          <w:lang w:val="en-US"/>
        </w:rPr>
        <w:t>there</w:t>
      </w:r>
      <w:r w:rsidR="005625B4">
        <w:rPr>
          <w:rFonts w:ascii="Times New Roman" w:hAnsi="Times New Roman" w:cs="Times New Roman"/>
          <w:sz w:val="24"/>
          <w:szCs w:val="24"/>
          <w:lang w:val="en-US"/>
        </w:rPr>
        <w:t xml:space="preserve"> is</w:t>
      </w:r>
      <w:r w:rsidRPr="00095AB6">
        <w:rPr>
          <w:rFonts w:ascii="Times New Roman" w:hAnsi="Times New Roman" w:cs="Times New Roman"/>
          <w:sz w:val="24"/>
          <w:szCs w:val="24"/>
          <w:lang w:val="en-US"/>
        </w:rPr>
        <w:t xml:space="preserve"> need to note that a quantitative researcher attempts to fragment and delimit phenomena into measurable or common categories that can be applied to all of the subjects (Golafshani, 2003). In this case, a suitable questionnaire would need to assess various characteristics so that the varying perspectives and experiences of people can be fit into a limited number of predetermined response categories (Golafshani, 2003). Thus, a quantitative researcher needs to construct an instrument to be administered in a standardized manner according to procedures that have been predetermined through measures such as a pilot study (Golafshani, 2003). The characteristics assessed in Z</w:t>
      </w:r>
      <w:r w:rsidR="00AA7EB4">
        <w:rPr>
          <w:rFonts w:ascii="Times New Roman" w:hAnsi="Times New Roman" w:cs="Times New Roman"/>
          <w:sz w:val="24"/>
          <w:szCs w:val="24"/>
          <w:lang w:val="en-US"/>
        </w:rPr>
        <w:t>a</w:t>
      </w:r>
      <w:r w:rsidRPr="00095AB6">
        <w:rPr>
          <w:rFonts w:ascii="Times New Roman" w:hAnsi="Times New Roman" w:cs="Times New Roman"/>
          <w:sz w:val="24"/>
          <w:szCs w:val="24"/>
          <w:lang w:val="en-US"/>
        </w:rPr>
        <w:t>idman &amp; Pines’ (2014) research included friendliness, creativity, organization, stress regulation, hard-work, and professionalism among others. Therefore, the pilot study was necessary to create a suitable set of characteristics that the questionnaire would assess.</w:t>
      </w:r>
    </w:p>
    <w:p w14:paraId="3820669D" w14:textId="77777777" w:rsidR="005625B4" w:rsidRDefault="00095AB6" w:rsidP="00032972">
      <w:pPr>
        <w:spacing w:line="480" w:lineRule="auto"/>
        <w:jc w:val="center"/>
        <w:rPr>
          <w:rFonts w:ascii="Times New Roman" w:hAnsi="Times New Roman" w:cs="Times New Roman"/>
          <w:b/>
          <w:sz w:val="24"/>
          <w:szCs w:val="24"/>
          <w:lang w:val="en-US"/>
        </w:rPr>
      </w:pPr>
      <w:r w:rsidRPr="00095AB6">
        <w:rPr>
          <w:rFonts w:ascii="Times New Roman" w:hAnsi="Times New Roman" w:cs="Times New Roman"/>
          <w:b/>
          <w:sz w:val="24"/>
          <w:szCs w:val="24"/>
          <w:lang w:val="en-US"/>
        </w:rPr>
        <w:t>Question 10</w:t>
      </w:r>
      <w:r w:rsidR="005625B4">
        <w:rPr>
          <w:rFonts w:ascii="Times New Roman" w:hAnsi="Times New Roman" w:cs="Times New Roman"/>
          <w:b/>
          <w:sz w:val="24"/>
          <w:szCs w:val="24"/>
          <w:lang w:val="en-US"/>
        </w:rPr>
        <w:t xml:space="preserve">: A </w:t>
      </w:r>
      <w:r w:rsidRPr="00095AB6">
        <w:rPr>
          <w:rFonts w:ascii="Times New Roman" w:hAnsi="Times New Roman" w:cs="Times New Roman"/>
          <w:b/>
          <w:sz w:val="24"/>
          <w:szCs w:val="24"/>
          <w:lang w:val="en-US"/>
        </w:rPr>
        <w:t>Critique of the Study Results</w:t>
      </w:r>
    </w:p>
    <w:p w14:paraId="2F3D757A" w14:textId="77777777" w:rsidR="005625B4"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lastRenderedPageBreak/>
        <w:t>The results collected in the research showed various similarities and differences between the stereotypes of the team members towards each other (Zaidman &amp; Pines, 2014). For instance, the Indians viewed the Israeli members as knowledgeable, good technically, punctual, stubborn, and hard-working regarding work-related characteristics, while their personal characteristics stereotype for the Israeli was that they were helpful, supportive, friendly, good, and hospitable (Zaidman &amp; Pines, 2014). On the other hand, Indians’ stereotype according to the Israelis viewed them as obedient, professional, hard-working, responsible dependent, and devoted to work (Zaidman &amp; Pines, 2014). Regarding personal characteristics, the Indians were viewed by the Israelis as nice, warm, friendly, polite, calm, and trustworthy (Zaidman &amp; Pines, 2014).</w:t>
      </w:r>
    </w:p>
    <w:p w14:paraId="1EEC6D26" w14:textId="77777777" w:rsidR="005625B4" w:rsidRDefault="00095AB6" w:rsidP="00032972">
      <w:pPr>
        <w:spacing w:line="480" w:lineRule="auto"/>
        <w:ind w:firstLine="720"/>
        <w:rPr>
          <w:rFonts w:ascii="Times New Roman" w:hAnsi="Times New Roman" w:cs="Times New Roman"/>
          <w:sz w:val="24"/>
          <w:szCs w:val="24"/>
          <w:lang w:val="en-US"/>
        </w:rPr>
      </w:pPr>
      <w:r w:rsidRPr="00095AB6">
        <w:rPr>
          <w:rFonts w:ascii="Times New Roman" w:hAnsi="Times New Roman" w:cs="Times New Roman"/>
          <w:sz w:val="24"/>
          <w:szCs w:val="24"/>
          <w:lang w:val="en-US"/>
        </w:rPr>
        <w:t>The comments show several aspects regarding the knowledge that each group has of each other. Firstly, it shows that this knowledge was heavily influenced by national stereotypes based on cultural differences. For instance, the Indians perceived the Israelis as being stubborn and not accepting that there are alternative ways of doing things which reflects the Israeli’s assertive culture (Zaidman &amp; Pines, 2014). Also, it shows that global stereotypes informed this knowledge and that this promoted the creation of a similar value system for evaluating some characteristics among members of the two groups in the bicultural team. For instance, both the Indian and Israeli team members rated themselves higher on ‘professional’ characteristics compared to ‘social’ characteristics, which supports the convergence perspective that the shared exposure of the Indian and Israeli teams to the values of both the global culture and the high-tech culture resulted in a convergence of stereotypes (Zaidman &amp; Pines, 2014).</w:t>
      </w:r>
    </w:p>
    <w:p w14:paraId="76FD795B" w14:textId="77777777" w:rsidR="00032972" w:rsidRDefault="00032972" w:rsidP="000329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860DEE8" w14:textId="234A5DCE" w:rsidR="005625B4" w:rsidRDefault="00095AB6" w:rsidP="00032972">
      <w:pPr>
        <w:spacing w:line="480" w:lineRule="auto"/>
        <w:jc w:val="center"/>
        <w:rPr>
          <w:rFonts w:ascii="Times New Roman" w:hAnsi="Times New Roman" w:cs="Times New Roman"/>
          <w:bCs/>
          <w:sz w:val="24"/>
          <w:szCs w:val="24"/>
          <w:lang w:val="en-US"/>
        </w:rPr>
      </w:pPr>
      <w:r w:rsidRPr="00095AB6">
        <w:rPr>
          <w:rFonts w:ascii="Times New Roman" w:hAnsi="Times New Roman" w:cs="Times New Roman"/>
          <w:bCs/>
          <w:sz w:val="24"/>
          <w:szCs w:val="24"/>
          <w:lang w:val="en-US"/>
        </w:rPr>
        <w:lastRenderedPageBreak/>
        <w:t>References</w:t>
      </w:r>
    </w:p>
    <w:p w14:paraId="1BB56893" w14:textId="77777777" w:rsidR="00EF3BAF" w:rsidRDefault="00EF3BAF" w:rsidP="00032972">
      <w:pPr>
        <w:spacing w:line="480" w:lineRule="auto"/>
        <w:ind w:left="720" w:hanging="720"/>
        <w:rPr>
          <w:rFonts w:ascii="Times New Roman" w:hAnsi="Times New Roman" w:cs="Times New Roman"/>
          <w:sz w:val="24"/>
          <w:szCs w:val="24"/>
          <w:lang w:val="en-US"/>
        </w:rPr>
      </w:pPr>
      <w:r w:rsidRPr="00095AB6">
        <w:rPr>
          <w:rFonts w:ascii="Times New Roman" w:hAnsi="Times New Roman" w:cs="Times New Roman"/>
          <w:sz w:val="24"/>
          <w:szCs w:val="24"/>
          <w:lang w:val="en-US"/>
        </w:rPr>
        <w:t>Gazi, I. (2014). Social Identity Theory. Retrieved from</w:t>
      </w:r>
      <w:r>
        <w:rPr>
          <w:rFonts w:ascii="Times New Roman" w:hAnsi="Times New Roman" w:cs="Times New Roman"/>
          <w:sz w:val="24"/>
          <w:szCs w:val="24"/>
          <w:lang w:val="en-US"/>
        </w:rPr>
        <w:t xml:space="preserve"> </w:t>
      </w:r>
      <w:hyperlink r:id="rId6" w:history="1">
        <w:r w:rsidRPr="00095AB6">
          <w:rPr>
            <w:rStyle w:val="Hyperlink"/>
            <w:rFonts w:ascii="Times New Roman" w:hAnsi="Times New Roman" w:cs="Times New Roman"/>
            <w:sz w:val="24"/>
            <w:szCs w:val="24"/>
            <w:lang w:val="en-US"/>
          </w:rPr>
          <w:t>https://www.researchgate.net/publication/281208338_Social_Identity_Theory</w:t>
        </w:r>
      </w:hyperlink>
    </w:p>
    <w:p w14:paraId="19797F95" w14:textId="77777777" w:rsidR="00EF3BAF" w:rsidRDefault="00EF3BAF" w:rsidP="00032972">
      <w:pPr>
        <w:spacing w:line="480" w:lineRule="auto"/>
        <w:ind w:left="720" w:hanging="720"/>
        <w:rPr>
          <w:rFonts w:ascii="Times New Roman" w:hAnsi="Times New Roman" w:cs="Times New Roman"/>
          <w:sz w:val="24"/>
          <w:szCs w:val="24"/>
          <w:lang w:val="en-US"/>
        </w:rPr>
      </w:pPr>
      <w:r w:rsidRPr="00095AB6">
        <w:rPr>
          <w:rFonts w:ascii="Times New Roman" w:hAnsi="Times New Roman" w:cs="Times New Roman"/>
          <w:sz w:val="24"/>
          <w:szCs w:val="24"/>
          <w:lang w:val="en-US"/>
        </w:rPr>
        <w:t>Golafshani, N. (2003). Understanding reliability and validity in qualitative research. </w:t>
      </w:r>
      <w:r w:rsidRPr="00095AB6">
        <w:rPr>
          <w:rFonts w:ascii="Times New Roman" w:hAnsi="Times New Roman" w:cs="Times New Roman"/>
          <w:i/>
          <w:sz w:val="24"/>
          <w:szCs w:val="24"/>
          <w:lang w:val="en-US"/>
        </w:rPr>
        <w:t>The qualitative report</w:t>
      </w:r>
      <w:r w:rsidRPr="00095AB6">
        <w:rPr>
          <w:rFonts w:ascii="Times New Roman" w:hAnsi="Times New Roman" w:cs="Times New Roman"/>
          <w:sz w:val="24"/>
          <w:szCs w:val="24"/>
          <w:lang w:val="en-US"/>
        </w:rPr>
        <w:t>, 8(4), 597-607.</w:t>
      </w:r>
    </w:p>
    <w:p w14:paraId="65204919" w14:textId="77777777" w:rsidR="00EF3BAF" w:rsidRDefault="00EF3BAF" w:rsidP="00032972">
      <w:pPr>
        <w:spacing w:line="480" w:lineRule="auto"/>
        <w:ind w:left="720" w:hanging="720"/>
        <w:rPr>
          <w:rFonts w:ascii="Times New Roman" w:hAnsi="Times New Roman" w:cs="Times New Roman"/>
          <w:sz w:val="24"/>
          <w:szCs w:val="24"/>
          <w:lang w:val="en-US"/>
        </w:rPr>
      </w:pPr>
      <w:r w:rsidRPr="00095AB6">
        <w:rPr>
          <w:rFonts w:ascii="Times New Roman" w:hAnsi="Times New Roman" w:cs="Times New Roman"/>
          <w:sz w:val="24"/>
          <w:szCs w:val="24"/>
          <w:lang w:val="en-US"/>
        </w:rPr>
        <w:t xml:space="preserve">Haeussler, C., Patzelt, H., &amp; Zahra, A. (2012). Strategic alliances and product development in high technology new firms: The moderating effect of technological capabilities. </w:t>
      </w:r>
      <w:r w:rsidRPr="00095AB6">
        <w:rPr>
          <w:rFonts w:ascii="Times New Roman" w:hAnsi="Times New Roman" w:cs="Times New Roman"/>
          <w:i/>
          <w:sz w:val="24"/>
          <w:szCs w:val="24"/>
          <w:lang w:val="en-US"/>
        </w:rPr>
        <w:t>Journal of business venturing,</w:t>
      </w:r>
      <w:r w:rsidRPr="00095AB6">
        <w:rPr>
          <w:rFonts w:ascii="Times New Roman" w:hAnsi="Times New Roman" w:cs="Times New Roman"/>
          <w:sz w:val="24"/>
          <w:szCs w:val="24"/>
          <w:lang w:val="en-US"/>
        </w:rPr>
        <w:t> 27(2), 217-233.</w:t>
      </w:r>
    </w:p>
    <w:p w14:paraId="22A13959" w14:textId="77777777" w:rsidR="00EF3BAF" w:rsidRDefault="00EF3BAF" w:rsidP="00032972">
      <w:pPr>
        <w:spacing w:line="480" w:lineRule="auto"/>
        <w:ind w:left="720" w:hanging="720"/>
        <w:rPr>
          <w:rFonts w:ascii="Times New Roman" w:hAnsi="Times New Roman" w:cs="Times New Roman"/>
          <w:sz w:val="24"/>
          <w:szCs w:val="24"/>
          <w:lang w:val="en-US"/>
        </w:rPr>
      </w:pPr>
      <w:r w:rsidRPr="00095AB6">
        <w:rPr>
          <w:rFonts w:ascii="Times New Roman" w:hAnsi="Times New Roman" w:cs="Times New Roman"/>
          <w:sz w:val="24"/>
          <w:szCs w:val="24"/>
          <w:lang w:val="en-US"/>
        </w:rPr>
        <w:t>Hofstede, G. (2011). Dimensionalizing cultures: The Hofstede model in context. </w:t>
      </w:r>
      <w:r w:rsidRPr="00095AB6">
        <w:rPr>
          <w:rFonts w:ascii="Times New Roman" w:hAnsi="Times New Roman" w:cs="Times New Roman"/>
          <w:i/>
          <w:sz w:val="24"/>
          <w:szCs w:val="24"/>
          <w:lang w:val="en-US"/>
        </w:rPr>
        <w:t>Online readings in psychology and culture,</w:t>
      </w:r>
      <w:r w:rsidRPr="00095AB6">
        <w:rPr>
          <w:rFonts w:ascii="Times New Roman" w:hAnsi="Times New Roman" w:cs="Times New Roman"/>
          <w:sz w:val="24"/>
          <w:szCs w:val="24"/>
          <w:lang w:val="en-US"/>
        </w:rPr>
        <w:t> 2(1), 2307-0919.</w:t>
      </w:r>
    </w:p>
    <w:p w14:paraId="1E21C913" w14:textId="77777777" w:rsidR="00EF3BAF" w:rsidRDefault="00EF3BAF" w:rsidP="00032972">
      <w:pPr>
        <w:spacing w:line="480" w:lineRule="auto"/>
        <w:ind w:left="720" w:hanging="720"/>
        <w:rPr>
          <w:rFonts w:ascii="Times New Roman" w:hAnsi="Times New Roman" w:cs="Times New Roman"/>
          <w:sz w:val="24"/>
          <w:szCs w:val="24"/>
          <w:lang w:val="en-US"/>
        </w:rPr>
      </w:pPr>
      <w:r w:rsidRPr="00095AB6">
        <w:rPr>
          <w:rFonts w:ascii="Times New Roman" w:hAnsi="Times New Roman" w:cs="Times New Roman"/>
          <w:sz w:val="24"/>
          <w:szCs w:val="24"/>
          <w:lang w:val="en-US"/>
        </w:rPr>
        <w:t>Leon, C., Davis, L., &amp; Kraemer, H. (2011). The role and interpretation of pilot studies in clinical research. </w:t>
      </w:r>
      <w:r w:rsidRPr="00095AB6">
        <w:rPr>
          <w:rFonts w:ascii="Times New Roman" w:hAnsi="Times New Roman" w:cs="Times New Roman"/>
          <w:i/>
          <w:sz w:val="24"/>
          <w:szCs w:val="24"/>
          <w:lang w:val="en-US"/>
        </w:rPr>
        <w:t>Journal of psychiatric research</w:t>
      </w:r>
      <w:r w:rsidRPr="00095AB6">
        <w:rPr>
          <w:rFonts w:ascii="Times New Roman" w:hAnsi="Times New Roman" w:cs="Times New Roman"/>
          <w:sz w:val="24"/>
          <w:szCs w:val="24"/>
          <w:lang w:val="en-US"/>
        </w:rPr>
        <w:t>, 45(5), 626-629.</w:t>
      </w:r>
      <w:r>
        <w:rPr>
          <w:rFonts w:ascii="Times New Roman" w:hAnsi="Times New Roman" w:cs="Times New Roman"/>
          <w:sz w:val="24"/>
          <w:szCs w:val="24"/>
          <w:lang w:val="en-US"/>
        </w:rPr>
        <w:t xml:space="preserve"> </w:t>
      </w:r>
      <w:hyperlink r:id="rId7" w:history="1">
        <w:r w:rsidRPr="00095AB6">
          <w:rPr>
            <w:rStyle w:val="Hyperlink"/>
            <w:rFonts w:ascii="Times New Roman" w:hAnsi="Times New Roman" w:cs="Times New Roman"/>
            <w:sz w:val="24"/>
            <w:szCs w:val="24"/>
            <w:lang w:val="en-US"/>
          </w:rPr>
          <w:t>https://doi.org/10.1016/j.jpsychires.2010.10.008</w:t>
        </w:r>
      </w:hyperlink>
    </w:p>
    <w:p w14:paraId="112BAB28" w14:textId="77777777" w:rsidR="00EF3BAF" w:rsidRDefault="00EF3BAF" w:rsidP="00032972">
      <w:pPr>
        <w:spacing w:line="480" w:lineRule="auto"/>
        <w:ind w:left="720" w:hanging="720"/>
        <w:rPr>
          <w:rFonts w:ascii="Times New Roman" w:hAnsi="Times New Roman" w:cs="Times New Roman"/>
          <w:sz w:val="24"/>
          <w:szCs w:val="24"/>
        </w:rPr>
      </w:pPr>
      <w:r w:rsidRPr="005625B4">
        <w:rPr>
          <w:rFonts w:ascii="Times New Roman" w:hAnsi="Times New Roman" w:cs="Times New Roman"/>
          <w:sz w:val="24"/>
          <w:szCs w:val="24"/>
        </w:rPr>
        <w:t>Pines, A. M., &amp; Zaidman, N. (2014). Stress and burnout in bicultural teams in hi‐tech industry. </w:t>
      </w:r>
      <w:r w:rsidRPr="005625B4">
        <w:rPr>
          <w:rFonts w:ascii="Times New Roman" w:hAnsi="Times New Roman" w:cs="Times New Roman"/>
          <w:i/>
          <w:iCs/>
          <w:sz w:val="24"/>
          <w:szCs w:val="24"/>
        </w:rPr>
        <w:t>British Journal of Management</w:t>
      </w:r>
      <w:r w:rsidRPr="005625B4">
        <w:rPr>
          <w:rFonts w:ascii="Times New Roman" w:hAnsi="Times New Roman" w:cs="Times New Roman"/>
          <w:sz w:val="24"/>
          <w:szCs w:val="24"/>
        </w:rPr>
        <w:t>, </w:t>
      </w:r>
      <w:r w:rsidRPr="005625B4">
        <w:rPr>
          <w:rFonts w:ascii="Times New Roman" w:hAnsi="Times New Roman" w:cs="Times New Roman"/>
          <w:i/>
          <w:iCs/>
          <w:sz w:val="24"/>
          <w:szCs w:val="24"/>
        </w:rPr>
        <w:t>25</w:t>
      </w:r>
      <w:r w:rsidRPr="005625B4">
        <w:rPr>
          <w:rFonts w:ascii="Times New Roman" w:hAnsi="Times New Roman" w:cs="Times New Roman"/>
          <w:sz w:val="24"/>
          <w:szCs w:val="24"/>
        </w:rPr>
        <w:t>(4), 819-832.</w:t>
      </w:r>
    </w:p>
    <w:p w14:paraId="5351DB6C" w14:textId="35ECA5D0" w:rsidR="00EF3BAF" w:rsidRDefault="00EF3BAF" w:rsidP="00032972">
      <w:pPr>
        <w:spacing w:line="480" w:lineRule="auto"/>
        <w:ind w:left="720" w:hanging="720"/>
        <w:rPr>
          <w:rFonts w:ascii="Times New Roman" w:hAnsi="Times New Roman" w:cs="Times New Roman"/>
          <w:sz w:val="24"/>
          <w:szCs w:val="24"/>
          <w:lang w:val="en-US"/>
        </w:rPr>
      </w:pPr>
      <w:r w:rsidRPr="00095AB6">
        <w:rPr>
          <w:rFonts w:ascii="Times New Roman" w:hAnsi="Times New Roman" w:cs="Times New Roman"/>
          <w:sz w:val="24"/>
          <w:szCs w:val="24"/>
          <w:lang w:val="en-US"/>
        </w:rPr>
        <w:t>Thampi, P., Jyotishi, A., &amp; Bishu, R. (2015). Cultural characteristics of small business entrepreneurs in India: examining the adequacy of Hofstede's framework. </w:t>
      </w:r>
      <w:r w:rsidRPr="00095AB6">
        <w:rPr>
          <w:rFonts w:ascii="Times New Roman" w:hAnsi="Times New Roman" w:cs="Times New Roman"/>
          <w:i/>
          <w:iCs/>
          <w:sz w:val="24"/>
          <w:szCs w:val="24"/>
          <w:lang w:val="en-US"/>
        </w:rPr>
        <w:t xml:space="preserve">International Journal of Business and </w:t>
      </w:r>
      <w:r w:rsidR="00AA7EB4" w:rsidRPr="00095AB6">
        <w:rPr>
          <w:rFonts w:ascii="Times New Roman" w:hAnsi="Times New Roman" w:cs="Times New Roman"/>
          <w:i/>
          <w:iCs/>
          <w:sz w:val="24"/>
          <w:szCs w:val="24"/>
          <w:lang w:val="en-US"/>
        </w:rPr>
        <w:t>Globalization</w:t>
      </w:r>
      <w:r w:rsidRPr="00095AB6">
        <w:rPr>
          <w:rFonts w:ascii="Times New Roman" w:hAnsi="Times New Roman" w:cs="Times New Roman"/>
          <w:sz w:val="24"/>
          <w:szCs w:val="24"/>
          <w:lang w:val="en-US"/>
        </w:rPr>
        <w:t>, </w:t>
      </w:r>
      <w:r w:rsidRPr="00095AB6">
        <w:rPr>
          <w:rFonts w:ascii="Times New Roman" w:hAnsi="Times New Roman" w:cs="Times New Roman"/>
          <w:i/>
          <w:iCs/>
          <w:sz w:val="24"/>
          <w:szCs w:val="24"/>
          <w:lang w:val="en-US"/>
        </w:rPr>
        <w:t>15</w:t>
      </w:r>
      <w:r w:rsidRPr="00095AB6">
        <w:rPr>
          <w:rFonts w:ascii="Times New Roman" w:hAnsi="Times New Roman" w:cs="Times New Roman"/>
          <w:sz w:val="24"/>
          <w:szCs w:val="24"/>
          <w:lang w:val="en-US"/>
        </w:rPr>
        <w:t>(4), 475-495.</w:t>
      </w:r>
    </w:p>
    <w:p w14:paraId="065B996D" w14:textId="77777777" w:rsidR="00EF3BAF" w:rsidRPr="00095AB6" w:rsidRDefault="00EF3BAF" w:rsidP="00032972">
      <w:pPr>
        <w:spacing w:line="480" w:lineRule="auto"/>
        <w:ind w:left="720" w:hanging="720"/>
        <w:rPr>
          <w:rFonts w:ascii="Times New Roman" w:hAnsi="Times New Roman" w:cs="Times New Roman"/>
          <w:sz w:val="24"/>
          <w:szCs w:val="24"/>
          <w:lang w:val="en-US"/>
        </w:rPr>
      </w:pPr>
      <w:r w:rsidRPr="00095AB6">
        <w:rPr>
          <w:rFonts w:ascii="Times New Roman" w:hAnsi="Times New Roman" w:cs="Times New Roman"/>
          <w:sz w:val="24"/>
          <w:szCs w:val="24"/>
          <w:lang w:val="en-US"/>
        </w:rPr>
        <w:t>Zaidman, N., &amp; Pines,</w:t>
      </w:r>
      <w:r>
        <w:rPr>
          <w:rFonts w:ascii="Times New Roman" w:hAnsi="Times New Roman" w:cs="Times New Roman"/>
          <w:sz w:val="24"/>
          <w:szCs w:val="24"/>
          <w:lang w:val="en-US"/>
        </w:rPr>
        <w:t xml:space="preserve"> M.,</w:t>
      </w:r>
      <w:r w:rsidRPr="00095AB6">
        <w:rPr>
          <w:rFonts w:ascii="Times New Roman" w:hAnsi="Times New Roman" w:cs="Times New Roman"/>
          <w:sz w:val="24"/>
          <w:szCs w:val="24"/>
          <w:lang w:val="en-US"/>
        </w:rPr>
        <w:t xml:space="preserve"> A. (2014). Stereotypes in bicultural global teams. </w:t>
      </w:r>
      <w:r w:rsidRPr="00095AB6">
        <w:rPr>
          <w:rFonts w:ascii="Times New Roman" w:hAnsi="Times New Roman" w:cs="Times New Roman"/>
          <w:i/>
          <w:iCs/>
          <w:sz w:val="24"/>
          <w:szCs w:val="24"/>
          <w:lang w:val="en-US"/>
        </w:rPr>
        <w:t>International Journal of Intercultural Relations</w:t>
      </w:r>
      <w:r w:rsidRPr="00095AB6">
        <w:rPr>
          <w:rFonts w:ascii="Times New Roman" w:hAnsi="Times New Roman" w:cs="Times New Roman"/>
          <w:sz w:val="24"/>
          <w:szCs w:val="24"/>
          <w:lang w:val="en-US"/>
        </w:rPr>
        <w:t>, </w:t>
      </w:r>
      <w:r w:rsidRPr="00095AB6">
        <w:rPr>
          <w:rFonts w:ascii="Times New Roman" w:hAnsi="Times New Roman" w:cs="Times New Roman"/>
          <w:i/>
          <w:iCs/>
          <w:sz w:val="24"/>
          <w:szCs w:val="24"/>
          <w:lang w:val="en-US"/>
        </w:rPr>
        <w:t>40</w:t>
      </w:r>
      <w:r w:rsidRPr="00095AB6">
        <w:rPr>
          <w:rFonts w:ascii="Times New Roman" w:hAnsi="Times New Roman" w:cs="Times New Roman"/>
          <w:sz w:val="24"/>
          <w:szCs w:val="24"/>
          <w:lang w:val="en-US"/>
        </w:rPr>
        <w:t>, 99-112.</w:t>
      </w:r>
    </w:p>
    <w:sectPr w:rsidR="00EF3BAF" w:rsidRPr="00095AB6" w:rsidSect="00095AB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44869" w14:textId="77777777" w:rsidR="00192ABF" w:rsidRDefault="00192ABF" w:rsidP="00095AB6">
      <w:pPr>
        <w:spacing w:after="0" w:line="240" w:lineRule="auto"/>
      </w:pPr>
      <w:r>
        <w:separator/>
      </w:r>
    </w:p>
  </w:endnote>
  <w:endnote w:type="continuationSeparator" w:id="0">
    <w:p w14:paraId="4811CF59" w14:textId="77777777" w:rsidR="00192ABF" w:rsidRDefault="00192ABF" w:rsidP="00095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B5369" w14:textId="77777777" w:rsidR="00192ABF" w:rsidRDefault="00192ABF" w:rsidP="00095AB6">
      <w:pPr>
        <w:spacing w:after="0" w:line="240" w:lineRule="auto"/>
      </w:pPr>
      <w:r>
        <w:separator/>
      </w:r>
    </w:p>
  </w:footnote>
  <w:footnote w:type="continuationSeparator" w:id="0">
    <w:p w14:paraId="5FEB2274" w14:textId="77777777" w:rsidR="00192ABF" w:rsidRDefault="00192ABF" w:rsidP="00095A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11139966"/>
      <w:docPartObj>
        <w:docPartGallery w:val="Page Numbers (Top of Page)"/>
        <w:docPartUnique/>
      </w:docPartObj>
    </w:sdtPr>
    <w:sdtEndPr>
      <w:rPr>
        <w:noProof/>
      </w:rPr>
    </w:sdtEndPr>
    <w:sdtContent>
      <w:p w14:paraId="1934E8DF" w14:textId="76303634" w:rsidR="00095AB6" w:rsidRPr="00095AB6" w:rsidRDefault="00095AB6" w:rsidP="00095AB6">
        <w:pPr>
          <w:pStyle w:val="Header"/>
          <w:jc w:val="right"/>
          <w:rPr>
            <w:rFonts w:ascii="Times New Roman" w:hAnsi="Times New Roman" w:cs="Times New Roman"/>
          </w:rPr>
        </w:pPr>
        <w:r w:rsidRPr="00095AB6">
          <w:rPr>
            <w:rFonts w:ascii="Times New Roman" w:hAnsi="Times New Roman" w:cs="Times New Roman"/>
            <w:bCs/>
            <w:lang w:val="en-US"/>
          </w:rPr>
          <w:t>STEREOTYPES IN BICULTURAL GLOBAL TERMS</w:t>
        </w:r>
        <w:r>
          <w:rPr>
            <w:rFonts w:ascii="Times New Roman" w:hAnsi="Times New Roman" w:cs="Times New Roman"/>
          </w:rPr>
          <w:tab/>
        </w:r>
        <w:r w:rsidRPr="00095AB6">
          <w:rPr>
            <w:rFonts w:ascii="Times New Roman" w:hAnsi="Times New Roman" w:cs="Times New Roman"/>
          </w:rPr>
          <w:fldChar w:fldCharType="begin"/>
        </w:r>
        <w:r w:rsidRPr="00095AB6">
          <w:rPr>
            <w:rFonts w:ascii="Times New Roman" w:hAnsi="Times New Roman" w:cs="Times New Roman"/>
          </w:rPr>
          <w:instrText xml:space="preserve"> PAGE   \* MERGEFORMAT </w:instrText>
        </w:r>
        <w:r w:rsidRPr="00095AB6">
          <w:rPr>
            <w:rFonts w:ascii="Times New Roman" w:hAnsi="Times New Roman" w:cs="Times New Roman"/>
          </w:rPr>
          <w:fldChar w:fldCharType="separate"/>
        </w:r>
        <w:r w:rsidRPr="00095AB6">
          <w:rPr>
            <w:rFonts w:ascii="Times New Roman" w:hAnsi="Times New Roman" w:cs="Times New Roman"/>
            <w:noProof/>
          </w:rPr>
          <w:t>2</w:t>
        </w:r>
        <w:r w:rsidRPr="00095AB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66096807"/>
      <w:docPartObj>
        <w:docPartGallery w:val="Page Numbers (Top of Page)"/>
        <w:docPartUnique/>
      </w:docPartObj>
    </w:sdtPr>
    <w:sdtEndPr>
      <w:rPr>
        <w:noProof/>
      </w:rPr>
    </w:sdtEndPr>
    <w:sdtContent>
      <w:p w14:paraId="4A7ED5C0" w14:textId="6F0F1D8F" w:rsidR="00095AB6" w:rsidRPr="00095AB6" w:rsidRDefault="00095AB6" w:rsidP="00095AB6">
        <w:pPr>
          <w:pStyle w:val="Header"/>
          <w:jc w:val="right"/>
          <w:rPr>
            <w:rFonts w:ascii="Times New Roman" w:hAnsi="Times New Roman" w:cs="Times New Roman"/>
          </w:rPr>
        </w:pPr>
        <w:r>
          <w:rPr>
            <w:rFonts w:ascii="Times New Roman" w:hAnsi="Times New Roman" w:cs="Times New Roman"/>
            <w:lang w:val="en-US"/>
          </w:rPr>
          <w:t xml:space="preserve">Running head: </w:t>
        </w:r>
        <w:r w:rsidRPr="00095AB6">
          <w:rPr>
            <w:rFonts w:ascii="Times New Roman" w:hAnsi="Times New Roman" w:cs="Times New Roman"/>
            <w:bCs/>
            <w:lang w:val="en-US"/>
          </w:rPr>
          <w:t>STEREOTYPES IN BICULTURAL GLOBAL TERMS</w:t>
        </w:r>
        <w:r>
          <w:rPr>
            <w:rFonts w:ascii="Times New Roman" w:hAnsi="Times New Roman" w:cs="Times New Roman"/>
          </w:rPr>
          <w:tab/>
        </w:r>
        <w:r w:rsidRPr="00095AB6">
          <w:rPr>
            <w:rFonts w:ascii="Times New Roman" w:hAnsi="Times New Roman" w:cs="Times New Roman"/>
          </w:rPr>
          <w:fldChar w:fldCharType="begin"/>
        </w:r>
        <w:r w:rsidRPr="00095AB6">
          <w:rPr>
            <w:rFonts w:ascii="Times New Roman" w:hAnsi="Times New Roman" w:cs="Times New Roman"/>
          </w:rPr>
          <w:instrText xml:space="preserve"> PAGE   \* MERGEFORMAT </w:instrText>
        </w:r>
        <w:r w:rsidRPr="00095AB6">
          <w:rPr>
            <w:rFonts w:ascii="Times New Roman" w:hAnsi="Times New Roman" w:cs="Times New Roman"/>
          </w:rPr>
          <w:fldChar w:fldCharType="separate"/>
        </w:r>
        <w:r w:rsidRPr="00095AB6">
          <w:rPr>
            <w:rFonts w:ascii="Times New Roman" w:hAnsi="Times New Roman" w:cs="Times New Roman"/>
            <w:noProof/>
          </w:rPr>
          <w:t>2</w:t>
        </w:r>
        <w:r w:rsidRPr="00095AB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2NzO1tDAzMDKxNDRQ0lEKTi0uzszPAykwrAUAF2R2ziwAAAA="/>
  </w:docVars>
  <w:rsids>
    <w:rsidRoot w:val="00095AB6"/>
    <w:rsid w:val="00032972"/>
    <w:rsid w:val="00095AB6"/>
    <w:rsid w:val="0013651E"/>
    <w:rsid w:val="00192ABF"/>
    <w:rsid w:val="00435DAE"/>
    <w:rsid w:val="00471036"/>
    <w:rsid w:val="005625B4"/>
    <w:rsid w:val="006E625C"/>
    <w:rsid w:val="007E2B2D"/>
    <w:rsid w:val="008479ED"/>
    <w:rsid w:val="00877D45"/>
    <w:rsid w:val="008B7576"/>
    <w:rsid w:val="00945323"/>
    <w:rsid w:val="00955F16"/>
    <w:rsid w:val="00992C3B"/>
    <w:rsid w:val="009E3F21"/>
    <w:rsid w:val="00AA7EB4"/>
    <w:rsid w:val="00B20416"/>
    <w:rsid w:val="00D15AE2"/>
    <w:rsid w:val="00D77A01"/>
    <w:rsid w:val="00EF3BAF"/>
    <w:rsid w:val="00F648C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2BB1"/>
  <w15:chartTrackingRefBased/>
  <w15:docId w15:val="{EB890899-0BB2-4336-910A-04A00CE2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5AB6"/>
    <w:rPr>
      <w:color w:val="0563C1" w:themeColor="hyperlink"/>
      <w:u w:val="single"/>
    </w:rPr>
  </w:style>
  <w:style w:type="character" w:styleId="UnresolvedMention">
    <w:name w:val="Unresolved Mention"/>
    <w:basedOn w:val="DefaultParagraphFont"/>
    <w:uiPriority w:val="99"/>
    <w:semiHidden/>
    <w:unhideWhenUsed/>
    <w:rsid w:val="00095AB6"/>
    <w:rPr>
      <w:color w:val="605E5C"/>
      <w:shd w:val="clear" w:color="auto" w:fill="E1DFDD"/>
    </w:rPr>
  </w:style>
  <w:style w:type="paragraph" w:styleId="Header">
    <w:name w:val="header"/>
    <w:basedOn w:val="Normal"/>
    <w:link w:val="HeaderChar"/>
    <w:uiPriority w:val="99"/>
    <w:unhideWhenUsed/>
    <w:rsid w:val="00095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AB6"/>
  </w:style>
  <w:style w:type="paragraph" w:styleId="Footer">
    <w:name w:val="footer"/>
    <w:basedOn w:val="Normal"/>
    <w:link w:val="FooterChar"/>
    <w:uiPriority w:val="99"/>
    <w:unhideWhenUsed/>
    <w:rsid w:val="00095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16/j.jpsychires.2010.10.0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81208338_Social_Identity_Theor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12</Pages>
  <Words>3186</Words>
  <Characters>18165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29</cp:revision>
  <dcterms:created xsi:type="dcterms:W3CDTF">2021-01-17T17:03:00Z</dcterms:created>
  <dcterms:modified xsi:type="dcterms:W3CDTF">2021-01-17T18:02:00Z</dcterms:modified>
</cp:coreProperties>
</file>